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88" w:rsidRPr="00B758B8" w:rsidRDefault="00FB3288" w:rsidP="00FB3288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58B8">
        <w:rPr>
          <w:rFonts w:ascii="Times New Roman" w:hAnsi="Times New Roman" w:cs="Times New Roman"/>
          <w:b/>
          <w:sz w:val="28"/>
          <w:szCs w:val="28"/>
        </w:rPr>
        <w:t>Показник ефективності медичної реабілітації за кошти Фонду сягнув 81,8%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 xml:space="preserve">Відновне лікування на базі реабілітаційних відділень санаторно-курортних закладів, що надається працюючим українцям за рахунок коштів Фонду соціального страхування України, має показник ефективності 81,8% у лікуванні складних патологій. 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 xml:space="preserve">У першому півріччі 2021 року курс реабілітації за кошти ФССУ пройшли 5 108 працівників, які знаходились на лікарняному через важке захворювання або травму (також Фонд фінансує реабілітацію для дітей застрахованих осіб, жінок з порушенням перебігу вагітності, учасників АТО). 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 xml:space="preserve">З них 4 178 осіб повністю відновили працездатність за підсумками завершення курсу відновного лікування на базі реабілітаційних відділень санаторно-курортних закладів і змогли одразу повернутись до роботи. Показник повної ефективності реабілітації складних патологій за кошти Фонду склав 81,8%. 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 xml:space="preserve">Найвищий показник ефективності реабілітації спостерігається в разі </w:t>
      </w:r>
      <w:proofErr w:type="spellStart"/>
      <w:r w:rsidRPr="00B758B8">
        <w:rPr>
          <w:rFonts w:ascii="Times New Roman" w:hAnsi="Times New Roman" w:cs="Times New Roman"/>
          <w:sz w:val="28"/>
          <w:szCs w:val="28"/>
        </w:rPr>
        <w:t>медико-психологічної</w:t>
      </w:r>
      <w:proofErr w:type="spellEnd"/>
      <w:r w:rsidRPr="00B758B8">
        <w:rPr>
          <w:rFonts w:ascii="Times New Roman" w:hAnsi="Times New Roman" w:cs="Times New Roman"/>
          <w:sz w:val="28"/>
          <w:szCs w:val="28"/>
        </w:rPr>
        <w:t xml:space="preserve"> реабілітації учасників АТО (100%), а також відновного лікування після оперативних втручань на органах травлення, сечостатевої системи, жіночих статевих органах тощо. Повністю відновлено працездатність у 97,7% пацієнтів за цим профілем.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>Високий показник ефективності лікування на базі реабілітаційних відділень санаторно-курортних закладів в пацієнтів, які мали ревматологічні захворювання, опіки, ортопедичні і травматологічні операції (83,3%).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>Ефективність реабілітації після інфарктів міокарда, нестабільної стенокардії, операцій на серці, захворювань легень, операцій на легенях і цукрового діабету становить 83,2%. Після оперативних втручань на органах зору – 81,3%.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>Після інсультів і черепно-мозкових травм повністю відновлено працездатність було у 61,2% пацієнтів, які проходили реабілітацію за кошти ФССУ.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>Пройти відновне лікування в реабілітаційному відділенні санаторно-курортного закладу після перенесених захворювань і травм за кошти ФССУ має право кожна застрахована особа за наявності медичних показань – сьогодні під опікою Фонду 12 мільйонів осіб, які мають офіційне працевлаштування, або є фізичними особами-підприємцями.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>Пацієнти направляються на реабілітацію після закінчення гострого періоду захворювання та за наявності визначеної медичної потреби.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lastRenderedPageBreak/>
        <w:t xml:space="preserve">Отримати консультацію щодо можливості пройти відновне лікування на базі реабілітаційних відділень санаторно-курортних закладів за кошти ФССУ застраховані особи можуть за телефонами: </w:t>
      </w:r>
      <w:hyperlink r:id="rId6" w:history="1">
        <w:r w:rsidRPr="00B758B8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http://www.fssu.gov.ua/fse/control/main/uk/publish/article/975533</w:t>
        </w:r>
      </w:hyperlink>
      <w:r w:rsidRPr="00B758B8">
        <w:rPr>
          <w:rFonts w:ascii="Times New Roman" w:hAnsi="Times New Roman" w:cs="Times New Roman"/>
          <w:sz w:val="28"/>
          <w:szCs w:val="28"/>
        </w:rPr>
        <w:t xml:space="preserve"> (оберіть відділення за територіальною ознакою).</w:t>
      </w:r>
    </w:p>
    <w:p w:rsidR="00FB3288" w:rsidRPr="00B758B8" w:rsidRDefault="00FB3288" w:rsidP="00FB3288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8B8">
        <w:rPr>
          <w:rFonts w:ascii="Times New Roman" w:hAnsi="Times New Roman" w:cs="Times New Roman"/>
          <w:sz w:val="28"/>
          <w:szCs w:val="28"/>
        </w:rPr>
        <w:t>Також до відповідальних осіб за телефонами вище можуть звертатись лікуючі лікарі, чиї пацієнти потребують продовження стаціонарного лікування на базі санаторно-курортних закладів.</w:t>
      </w: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46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55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2021-10-07T06:43:00Z</dcterms:created>
  <dcterms:modified xsi:type="dcterms:W3CDTF">2021-10-07T06:43:00Z</dcterms:modified>
</cp:coreProperties>
</file>